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1614B0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5"/>
        <w:gridCol w:w="2329"/>
        <w:gridCol w:w="2343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34E82FE5" w:rsidR="003A6BA9" w:rsidRPr="0092737C" w:rsidRDefault="00191526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Response</w:t>
            </w:r>
            <w:r w:rsidR="00EF6130">
              <w:rPr>
                <w:sz w:val="24"/>
                <w:szCs w:val="24"/>
              </w:rPr>
              <w:t xml:space="preserve"> – </w:t>
            </w:r>
            <w:r w:rsidR="007B226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7550B83F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</w:t>
            </w:r>
            <w:r w:rsidR="00191526">
              <w:rPr>
                <w:sz w:val="24"/>
                <w:szCs w:val="24"/>
              </w:rPr>
              <w:t>2</w:t>
            </w:r>
            <w:r w:rsidR="007B226E">
              <w:rPr>
                <w:sz w:val="24"/>
                <w:szCs w:val="24"/>
              </w:rPr>
              <w:t>.0</w:t>
            </w:r>
            <w:r w:rsidR="00191526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62BF5287" w14:textId="02374A94" w:rsidR="003A6BA9" w:rsidRPr="00627F30" w:rsidRDefault="00191526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 of Patient Care</w:t>
            </w:r>
          </w:p>
        </w:tc>
        <w:tc>
          <w:tcPr>
            <w:tcW w:w="2394" w:type="dxa"/>
          </w:tcPr>
          <w:p w14:paraId="62BF5288" w14:textId="544974F0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E564C0">
              <w:rPr>
                <w:sz w:val="28"/>
                <w:szCs w:val="28"/>
              </w:rPr>
              <w:t>3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7537321C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3A7631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3A7631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028F5952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3A7631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6A106DA2" w:rsidR="003A6BA9" w:rsidRDefault="007B226E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1F1F75">
        <w:rPr>
          <w:b/>
          <w:sz w:val="28"/>
          <w:szCs w:val="28"/>
        </w:rPr>
        <w:t>1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52B0F66C" w:rsidR="0014735F" w:rsidRDefault="00BD4735" w:rsidP="00BD4735">
      <w:pPr>
        <w:spacing w:before="120" w:after="0"/>
        <w:rPr>
          <w:sz w:val="24"/>
          <w:szCs w:val="24"/>
        </w:rPr>
      </w:pPr>
      <w:r w:rsidRPr="00BD4735">
        <w:rPr>
          <w:sz w:val="24"/>
          <w:szCs w:val="24"/>
        </w:rPr>
        <w:t>To provide guidance for personnel on the policies and procedures governing the proper transfer</w:t>
      </w:r>
      <w:r>
        <w:rPr>
          <w:sz w:val="24"/>
          <w:szCs w:val="24"/>
        </w:rPr>
        <w:t xml:space="preserve"> </w:t>
      </w:r>
      <w:r w:rsidRPr="00BD4735">
        <w:rPr>
          <w:sz w:val="24"/>
          <w:szCs w:val="24"/>
        </w:rPr>
        <w:t>of patient care to other providers including police officers, BLS providers, ALS providers and</w:t>
      </w:r>
      <w:r w:rsidR="00DD5F42">
        <w:rPr>
          <w:sz w:val="24"/>
          <w:szCs w:val="24"/>
        </w:rPr>
        <w:t xml:space="preserve"> </w:t>
      </w:r>
      <w:r w:rsidRPr="00BD4735">
        <w:rPr>
          <w:sz w:val="24"/>
          <w:szCs w:val="24"/>
        </w:rPr>
        <w:t>hospital personnel</w:t>
      </w:r>
      <w:r w:rsidR="00616E7F">
        <w:rPr>
          <w:sz w:val="24"/>
          <w:szCs w:val="24"/>
        </w:rPr>
        <w:t>.</w:t>
      </w:r>
      <w:r w:rsidR="00CE07B4">
        <w:rPr>
          <w:sz w:val="24"/>
          <w:szCs w:val="24"/>
        </w:rPr>
        <w:t xml:space="preserve"> </w:t>
      </w:r>
    </w:p>
    <w:p w14:paraId="62BF5292" w14:textId="1B3580D0" w:rsidR="003A6BA9" w:rsidRPr="004572DC" w:rsidRDefault="007B226E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1F1F75">
        <w:rPr>
          <w:b/>
          <w:sz w:val="28"/>
          <w:szCs w:val="28"/>
        </w:rPr>
        <w:t>1</w:t>
      </w:r>
      <w:r w:rsidR="003A6BA9" w:rsidRPr="004572DC">
        <w:rPr>
          <w:b/>
          <w:sz w:val="28"/>
          <w:szCs w:val="28"/>
        </w:rPr>
        <w:t>.02</w:t>
      </w:r>
      <w:r w:rsidR="003A6BA9" w:rsidRPr="004572DC">
        <w:rPr>
          <w:b/>
          <w:sz w:val="28"/>
          <w:szCs w:val="28"/>
        </w:rPr>
        <w:tab/>
      </w:r>
      <w:r w:rsidR="00DD5F42">
        <w:rPr>
          <w:b/>
          <w:sz w:val="28"/>
          <w:szCs w:val="28"/>
        </w:rPr>
        <w:t>General</w:t>
      </w:r>
    </w:p>
    <w:p w14:paraId="35FF5F36" w14:textId="51C8A4BD" w:rsidR="0023503E" w:rsidRPr="00DD5F42" w:rsidRDefault="00EB7952" w:rsidP="00EB7952">
      <w:pPr>
        <w:spacing w:before="120" w:after="0"/>
        <w:rPr>
          <w:sz w:val="24"/>
          <w:szCs w:val="24"/>
        </w:rPr>
      </w:pPr>
      <w:r w:rsidRPr="00EB7952">
        <w:rPr>
          <w:sz w:val="24"/>
          <w:szCs w:val="24"/>
        </w:rPr>
        <w:t>This policy does not cover the release of patients to lay persons to include family members, care</w:t>
      </w:r>
      <w:r>
        <w:rPr>
          <w:sz w:val="24"/>
          <w:szCs w:val="24"/>
        </w:rPr>
        <w:t xml:space="preserve"> </w:t>
      </w:r>
      <w:r w:rsidRPr="00EB7952">
        <w:rPr>
          <w:sz w:val="24"/>
          <w:szCs w:val="24"/>
        </w:rPr>
        <w:t>givers, day care providers and non-hospital healthcare workers. The release of patients to lay</w:t>
      </w:r>
      <w:r>
        <w:rPr>
          <w:sz w:val="24"/>
          <w:szCs w:val="24"/>
        </w:rPr>
        <w:t xml:space="preserve"> </w:t>
      </w:r>
      <w:r w:rsidRPr="00EB7952">
        <w:rPr>
          <w:sz w:val="24"/>
          <w:szCs w:val="24"/>
        </w:rPr>
        <w:t xml:space="preserve">persons should be done in accordance with the </w:t>
      </w:r>
      <w:r>
        <w:rPr>
          <w:sz w:val="24"/>
          <w:szCs w:val="24"/>
        </w:rPr>
        <w:t>District</w:t>
      </w:r>
      <w:r w:rsidR="00507D46">
        <w:rPr>
          <w:sz w:val="24"/>
          <w:szCs w:val="24"/>
        </w:rPr>
        <w:t>’s Patient Care</w:t>
      </w:r>
      <w:r w:rsidRPr="00EB7952">
        <w:rPr>
          <w:sz w:val="24"/>
          <w:szCs w:val="24"/>
        </w:rPr>
        <w:t xml:space="preserve"> Protocols, specifically, the</w:t>
      </w:r>
      <w:r>
        <w:rPr>
          <w:sz w:val="24"/>
          <w:szCs w:val="24"/>
        </w:rPr>
        <w:t xml:space="preserve"> </w:t>
      </w:r>
      <w:r w:rsidRPr="00EB7952">
        <w:rPr>
          <w:sz w:val="24"/>
          <w:szCs w:val="24"/>
        </w:rPr>
        <w:t>Patient Refusal Protocol.</w:t>
      </w:r>
    </w:p>
    <w:p w14:paraId="56B62A35" w14:textId="520E97F6" w:rsidR="00D60979" w:rsidRPr="00543321" w:rsidRDefault="007B226E" w:rsidP="0023503E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1F1F75">
        <w:rPr>
          <w:b/>
          <w:sz w:val="28"/>
          <w:szCs w:val="28"/>
        </w:rPr>
        <w:t>1</w:t>
      </w:r>
      <w:r w:rsidR="00D60979" w:rsidRPr="00543321">
        <w:rPr>
          <w:b/>
          <w:sz w:val="28"/>
          <w:szCs w:val="28"/>
        </w:rPr>
        <w:t>.3</w:t>
      </w:r>
      <w:r w:rsidR="00543321">
        <w:rPr>
          <w:b/>
          <w:sz w:val="28"/>
          <w:szCs w:val="28"/>
        </w:rPr>
        <w:tab/>
      </w:r>
      <w:r w:rsidR="00507D46">
        <w:rPr>
          <w:b/>
          <w:sz w:val="28"/>
          <w:szCs w:val="28"/>
        </w:rPr>
        <w:t>Policy</w:t>
      </w:r>
    </w:p>
    <w:p w14:paraId="33F4A46B" w14:textId="416814F6" w:rsidR="00C80B35" w:rsidRPr="00CD2A4E" w:rsidRDefault="00C80B35" w:rsidP="00CD2A4E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CD2A4E">
        <w:rPr>
          <w:sz w:val="24"/>
          <w:szCs w:val="24"/>
        </w:rPr>
        <w:t>A patient shall be defined as a person encountered while on-duty who has an actual or</w:t>
      </w:r>
      <w:r w:rsidR="004B04B1" w:rsidRPr="00CD2A4E">
        <w:rPr>
          <w:sz w:val="24"/>
          <w:szCs w:val="24"/>
        </w:rPr>
        <w:t xml:space="preserve"> </w:t>
      </w:r>
      <w:r w:rsidRPr="00CD2A4E">
        <w:rPr>
          <w:sz w:val="24"/>
          <w:szCs w:val="24"/>
        </w:rPr>
        <w:t>potential illness or injury.</w:t>
      </w:r>
    </w:p>
    <w:p w14:paraId="02359779" w14:textId="1514ADF4" w:rsidR="00C80B35" w:rsidRPr="00CD2A4E" w:rsidRDefault="00C80B35" w:rsidP="00CD2A4E">
      <w:pPr>
        <w:pStyle w:val="ListParagraph"/>
        <w:numPr>
          <w:ilvl w:val="0"/>
          <w:numId w:val="16"/>
        </w:numPr>
        <w:spacing w:before="240" w:after="0"/>
        <w:rPr>
          <w:sz w:val="24"/>
          <w:szCs w:val="24"/>
        </w:rPr>
      </w:pPr>
      <w:r w:rsidRPr="00CD2A4E">
        <w:rPr>
          <w:sz w:val="24"/>
          <w:szCs w:val="24"/>
        </w:rPr>
        <w:t>A provider-patient relationship is established when a provider initiates an assessment.</w:t>
      </w:r>
      <w:r w:rsidR="000B0526" w:rsidRPr="00CD2A4E">
        <w:rPr>
          <w:sz w:val="24"/>
          <w:szCs w:val="24"/>
        </w:rPr>
        <w:t xml:space="preserve"> </w:t>
      </w:r>
      <w:r w:rsidRPr="00CD2A4E">
        <w:rPr>
          <w:sz w:val="24"/>
          <w:szCs w:val="24"/>
        </w:rPr>
        <w:t>Assessment begins with the General Survey of a patient.</w:t>
      </w:r>
    </w:p>
    <w:p w14:paraId="00B3AA87" w14:textId="4DA4D543" w:rsidR="00C80B35" w:rsidRPr="00CD2A4E" w:rsidRDefault="00C80B35" w:rsidP="00CD2A4E">
      <w:pPr>
        <w:pStyle w:val="ListParagraph"/>
        <w:numPr>
          <w:ilvl w:val="0"/>
          <w:numId w:val="16"/>
        </w:numPr>
        <w:spacing w:before="240" w:after="0"/>
        <w:rPr>
          <w:sz w:val="24"/>
          <w:szCs w:val="24"/>
        </w:rPr>
      </w:pPr>
      <w:r w:rsidRPr="00CD2A4E">
        <w:rPr>
          <w:sz w:val="24"/>
          <w:szCs w:val="24"/>
        </w:rPr>
        <w:t xml:space="preserve">In accordance with </w:t>
      </w:r>
      <w:r w:rsidR="0077249D" w:rsidRPr="00CD2A4E">
        <w:rPr>
          <w:sz w:val="24"/>
          <w:szCs w:val="24"/>
        </w:rPr>
        <w:t>the District’s</w:t>
      </w:r>
      <w:r w:rsidRPr="00CD2A4E">
        <w:rPr>
          <w:sz w:val="24"/>
          <w:szCs w:val="24"/>
        </w:rPr>
        <w:t xml:space="preserve"> Protocol, an ALS provider patient-relationship is</w:t>
      </w:r>
      <w:r w:rsidR="000B0526" w:rsidRPr="00CD2A4E">
        <w:rPr>
          <w:sz w:val="24"/>
          <w:szCs w:val="24"/>
        </w:rPr>
        <w:t xml:space="preserve"> </w:t>
      </w:r>
      <w:r w:rsidRPr="00CD2A4E">
        <w:rPr>
          <w:sz w:val="24"/>
          <w:szCs w:val="24"/>
        </w:rPr>
        <w:t>initiated when an ALS provider initiates a patient assessment</w:t>
      </w:r>
      <w:r w:rsidR="00D85FA2" w:rsidRPr="00CD2A4E">
        <w:rPr>
          <w:sz w:val="24"/>
          <w:szCs w:val="24"/>
        </w:rPr>
        <w:t>.</w:t>
      </w:r>
    </w:p>
    <w:p w14:paraId="370881B6" w14:textId="108C9131" w:rsidR="00C80B35" w:rsidRPr="00CD2A4E" w:rsidRDefault="00C80B35" w:rsidP="00CD2A4E">
      <w:pPr>
        <w:pStyle w:val="ListParagraph"/>
        <w:numPr>
          <w:ilvl w:val="0"/>
          <w:numId w:val="16"/>
        </w:numPr>
        <w:spacing w:before="240" w:after="0"/>
        <w:rPr>
          <w:sz w:val="24"/>
          <w:szCs w:val="24"/>
        </w:rPr>
      </w:pPr>
      <w:r w:rsidRPr="00CD2A4E">
        <w:rPr>
          <w:sz w:val="24"/>
          <w:szCs w:val="24"/>
        </w:rPr>
        <w:t>No transfers of patient care should occur once transport has begun unless providing an</w:t>
      </w:r>
      <w:r w:rsidR="0077249D" w:rsidRPr="00CD2A4E">
        <w:rPr>
          <w:sz w:val="24"/>
          <w:szCs w:val="24"/>
        </w:rPr>
        <w:t xml:space="preserve"> </w:t>
      </w:r>
      <w:r w:rsidRPr="00CD2A4E">
        <w:rPr>
          <w:sz w:val="24"/>
          <w:szCs w:val="24"/>
        </w:rPr>
        <w:t>ALS upgrade rendezvous.</w:t>
      </w:r>
    </w:p>
    <w:p w14:paraId="5C64F310" w14:textId="5B28E314" w:rsidR="00C80B35" w:rsidRPr="00CD2A4E" w:rsidRDefault="00C80B35" w:rsidP="00CD2A4E">
      <w:pPr>
        <w:pStyle w:val="ListParagraph"/>
        <w:numPr>
          <w:ilvl w:val="0"/>
          <w:numId w:val="16"/>
        </w:numPr>
        <w:spacing w:before="240" w:after="0"/>
        <w:rPr>
          <w:sz w:val="24"/>
          <w:szCs w:val="24"/>
        </w:rPr>
      </w:pPr>
      <w:r w:rsidRPr="00CD2A4E">
        <w:rPr>
          <w:sz w:val="24"/>
          <w:szCs w:val="24"/>
        </w:rPr>
        <w:t>No transfers of patient care should significantly impede or delay transport.</w:t>
      </w:r>
    </w:p>
    <w:p w14:paraId="18E5438C" w14:textId="40CBB34E" w:rsidR="006A5A45" w:rsidRPr="00CD2A4E" w:rsidRDefault="00C80B35" w:rsidP="00CD2A4E">
      <w:pPr>
        <w:pStyle w:val="ListParagraph"/>
        <w:numPr>
          <w:ilvl w:val="0"/>
          <w:numId w:val="16"/>
        </w:numPr>
        <w:spacing w:before="240" w:after="0"/>
        <w:rPr>
          <w:sz w:val="24"/>
          <w:szCs w:val="24"/>
        </w:rPr>
      </w:pPr>
      <w:r w:rsidRPr="00CD2A4E">
        <w:rPr>
          <w:sz w:val="24"/>
          <w:szCs w:val="24"/>
        </w:rPr>
        <w:t>All patients receiving an ALS dispatch must be assessed by ALS personnel arriving on</w:t>
      </w:r>
      <w:r w:rsidR="0077249D" w:rsidRPr="00CD2A4E">
        <w:rPr>
          <w:sz w:val="24"/>
          <w:szCs w:val="24"/>
        </w:rPr>
        <w:t xml:space="preserve"> </w:t>
      </w:r>
      <w:r w:rsidRPr="00CD2A4E">
        <w:rPr>
          <w:sz w:val="24"/>
          <w:szCs w:val="24"/>
        </w:rPr>
        <w:t>scene even if other BLS units are already on scene with established patient care. This</w:t>
      </w:r>
      <w:r w:rsidR="00CD2A4E" w:rsidRPr="00CD2A4E">
        <w:rPr>
          <w:sz w:val="24"/>
          <w:szCs w:val="24"/>
        </w:rPr>
        <w:t xml:space="preserve"> </w:t>
      </w:r>
      <w:r w:rsidRPr="00CD2A4E">
        <w:rPr>
          <w:sz w:val="24"/>
          <w:szCs w:val="24"/>
        </w:rPr>
        <w:t xml:space="preserve">assessment must be documented within the </w:t>
      </w:r>
      <w:r w:rsidR="00CD2A4E" w:rsidRPr="00CD2A4E">
        <w:rPr>
          <w:sz w:val="24"/>
          <w:szCs w:val="24"/>
        </w:rPr>
        <w:t>patient care</w:t>
      </w:r>
      <w:r w:rsidRPr="00CD2A4E">
        <w:rPr>
          <w:sz w:val="24"/>
          <w:szCs w:val="24"/>
        </w:rPr>
        <w:t xml:space="preserve"> report.</w:t>
      </w:r>
      <w:r w:rsidR="00C07089" w:rsidRPr="00CD2A4E">
        <w:rPr>
          <w:sz w:val="24"/>
          <w:szCs w:val="24"/>
        </w:rPr>
        <w:t xml:space="preserve"> </w:t>
      </w:r>
    </w:p>
    <w:p w14:paraId="0BD8FEF4" w14:textId="12394C0C" w:rsidR="007B226E" w:rsidRDefault="007B226E" w:rsidP="00C07089">
      <w:pPr>
        <w:spacing w:before="240" w:after="0"/>
        <w:rPr>
          <w:b/>
          <w:sz w:val="28"/>
          <w:szCs w:val="28"/>
        </w:rPr>
      </w:pPr>
      <w:r w:rsidRPr="007B226E">
        <w:rPr>
          <w:b/>
          <w:sz w:val="28"/>
          <w:szCs w:val="28"/>
        </w:rPr>
        <w:t>40</w:t>
      </w:r>
      <w:r w:rsidR="001F1F75">
        <w:rPr>
          <w:b/>
          <w:sz w:val="28"/>
          <w:szCs w:val="28"/>
        </w:rPr>
        <w:t>2</w:t>
      </w:r>
      <w:r w:rsidRPr="007B226E">
        <w:rPr>
          <w:b/>
          <w:sz w:val="28"/>
          <w:szCs w:val="28"/>
        </w:rPr>
        <w:t>.0</w:t>
      </w:r>
      <w:r w:rsidR="001F1F75">
        <w:rPr>
          <w:b/>
          <w:sz w:val="28"/>
          <w:szCs w:val="28"/>
        </w:rPr>
        <w:t>1</w:t>
      </w:r>
      <w:r w:rsidRPr="007B226E">
        <w:rPr>
          <w:b/>
          <w:sz w:val="28"/>
          <w:szCs w:val="28"/>
        </w:rPr>
        <w:t>.04</w:t>
      </w:r>
      <w:r w:rsidRPr="007B226E">
        <w:rPr>
          <w:b/>
          <w:sz w:val="28"/>
          <w:szCs w:val="28"/>
        </w:rPr>
        <w:tab/>
      </w:r>
      <w:r w:rsidR="00DF55E2">
        <w:rPr>
          <w:b/>
          <w:sz w:val="28"/>
          <w:szCs w:val="28"/>
        </w:rPr>
        <w:t>Procedure</w:t>
      </w:r>
    </w:p>
    <w:p w14:paraId="2C49E355" w14:textId="77777777" w:rsidR="000E0622" w:rsidRPr="000E0622" w:rsidRDefault="000E0622" w:rsidP="000E0622">
      <w:pPr>
        <w:spacing w:before="120" w:after="0"/>
        <w:rPr>
          <w:b/>
          <w:i/>
          <w:color w:val="4F81BD" w:themeColor="accent1"/>
          <w:sz w:val="24"/>
          <w:szCs w:val="24"/>
        </w:rPr>
      </w:pPr>
      <w:r w:rsidRPr="000E0622">
        <w:rPr>
          <w:b/>
          <w:i/>
          <w:color w:val="4F81BD" w:themeColor="accent1"/>
          <w:sz w:val="24"/>
          <w:szCs w:val="24"/>
        </w:rPr>
        <w:t>Transferring Patient to BLS Care</w:t>
      </w:r>
    </w:p>
    <w:p w14:paraId="7D369C5F" w14:textId="0A7AE768" w:rsidR="000E0622" w:rsidRPr="00262365" w:rsidRDefault="000E0622" w:rsidP="00262365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262365">
        <w:rPr>
          <w:sz w:val="24"/>
          <w:szCs w:val="24"/>
        </w:rPr>
        <w:lastRenderedPageBreak/>
        <w:t>No ALS provider shall transfer care of a patient for which an ALS patient-provider</w:t>
      </w:r>
      <w:r w:rsidR="001260F6" w:rsidRPr="00262365">
        <w:rPr>
          <w:sz w:val="24"/>
          <w:szCs w:val="24"/>
        </w:rPr>
        <w:t xml:space="preserve"> </w:t>
      </w:r>
      <w:r w:rsidRPr="00262365">
        <w:rPr>
          <w:sz w:val="24"/>
          <w:szCs w:val="24"/>
        </w:rPr>
        <w:t>relationship has been established to a BLS unit except under the guidance of on-line</w:t>
      </w:r>
      <w:r w:rsidR="001260F6" w:rsidRPr="00262365">
        <w:rPr>
          <w:sz w:val="24"/>
          <w:szCs w:val="24"/>
        </w:rPr>
        <w:t xml:space="preserve"> </w:t>
      </w:r>
      <w:r w:rsidRPr="00262365">
        <w:rPr>
          <w:sz w:val="24"/>
          <w:szCs w:val="24"/>
        </w:rPr>
        <w:t xml:space="preserve">medical direction and in accordance with </w:t>
      </w:r>
      <w:r w:rsidR="001260F6" w:rsidRPr="00262365">
        <w:rPr>
          <w:sz w:val="24"/>
          <w:szCs w:val="24"/>
        </w:rPr>
        <w:t>the District’s</w:t>
      </w:r>
      <w:r w:rsidRPr="00262365">
        <w:rPr>
          <w:sz w:val="24"/>
          <w:szCs w:val="24"/>
        </w:rPr>
        <w:t xml:space="preserve"> EMS Protocol.</w:t>
      </w:r>
    </w:p>
    <w:p w14:paraId="3319E3EB" w14:textId="71F441EC" w:rsidR="000E0622" w:rsidRPr="00262365" w:rsidRDefault="000E0622" w:rsidP="00262365">
      <w:pPr>
        <w:pStyle w:val="ListParagraph"/>
        <w:numPr>
          <w:ilvl w:val="0"/>
          <w:numId w:val="17"/>
        </w:numPr>
        <w:spacing w:before="240" w:after="0"/>
        <w:rPr>
          <w:sz w:val="24"/>
          <w:szCs w:val="24"/>
        </w:rPr>
      </w:pPr>
      <w:r w:rsidRPr="00262365">
        <w:rPr>
          <w:sz w:val="24"/>
          <w:szCs w:val="24"/>
        </w:rPr>
        <w:t>ALS providers may transfer care of a patient to a BLS unit when:</w:t>
      </w:r>
    </w:p>
    <w:p w14:paraId="03498E82" w14:textId="75920E4B" w:rsidR="000E0622" w:rsidRPr="00262365" w:rsidRDefault="000E0622" w:rsidP="00262365">
      <w:pPr>
        <w:pStyle w:val="ListParagraph"/>
        <w:numPr>
          <w:ilvl w:val="1"/>
          <w:numId w:val="17"/>
        </w:numPr>
        <w:spacing w:before="240" w:after="0"/>
        <w:rPr>
          <w:sz w:val="24"/>
          <w:szCs w:val="24"/>
        </w:rPr>
      </w:pPr>
      <w:r w:rsidRPr="00262365">
        <w:rPr>
          <w:sz w:val="24"/>
          <w:szCs w:val="24"/>
        </w:rPr>
        <w:t>The patient-provider relationship is not ALS in nature and</w:t>
      </w:r>
    </w:p>
    <w:p w14:paraId="11851C18" w14:textId="7B96B52D" w:rsidR="000E0622" w:rsidRPr="00262365" w:rsidRDefault="000E0622" w:rsidP="00262365">
      <w:pPr>
        <w:pStyle w:val="ListParagraph"/>
        <w:numPr>
          <w:ilvl w:val="1"/>
          <w:numId w:val="17"/>
        </w:numPr>
        <w:spacing w:before="240" w:after="0"/>
        <w:rPr>
          <w:sz w:val="24"/>
          <w:szCs w:val="24"/>
        </w:rPr>
      </w:pPr>
      <w:r w:rsidRPr="00262365">
        <w:rPr>
          <w:sz w:val="24"/>
          <w:szCs w:val="24"/>
        </w:rPr>
        <w:t>The BLS provider is comfortable with the transition. The BLS provider has the</w:t>
      </w:r>
      <w:r w:rsidR="0077305A" w:rsidRPr="00262365">
        <w:rPr>
          <w:sz w:val="24"/>
          <w:szCs w:val="24"/>
        </w:rPr>
        <w:t xml:space="preserve"> </w:t>
      </w:r>
      <w:r w:rsidRPr="00262365">
        <w:rPr>
          <w:sz w:val="24"/>
          <w:szCs w:val="24"/>
        </w:rPr>
        <w:t>right to decline the transition of patient care and</w:t>
      </w:r>
    </w:p>
    <w:p w14:paraId="3A937CB1" w14:textId="7EE4B1CB" w:rsidR="000E0622" w:rsidRPr="00262365" w:rsidRDefault="000E0622" w:rsidP="00262365">
      <w:pPr>
        <w:pStyle w:val="ListParagraph"/>
        <w:numPr>
          <w:ilvl w:val="1"/>
          <w:numId w:val="17"/>
        </w:numPr>
        <w:spacing w:before="240" w:after="0"/>
        <w:rPr>
          <w:sz w:val="24"/>
          <w:szCs w:val="24"/>
        </w:rPr>
      </w:pPr>
      <w:r w:rsidRPr="00262365">
        <w:rPr>
          <w:sz w:val="24"/>
          <w:szCs w:val="24"/>
        </w:rPr>
        <w:t>The transfer of patient care does not significantly impede or delay transport.</w:t>
      </w:r>
    </w:p>
    <w:p w14:paraId="3329A793" w14:textId="0749F328" w:rsidR="000E0622" w:rsidRPr="00262365" w:rsidRDefault="00B422D8" w:rsidP="00262365">
      <w:pPr>
        <w:pStyle w:val="ListParagraph"/>
        <w:numPr>
          <w:ilvl w:val="0"/>
          <w:numId w:val="17"/>
        </w:numPr>
        <w:spacing w:before="240" w:after="0"/>
        <w:rPr>
          <w:sz w:val="24"/>
          <w:szCs w:val="24"/>
        </w:rPr>
      </w:pPr>
      <w:r w:rsidRPr="00262365">
        <w:rPr>
          <w:sz w:val="24"/>
          <w:szCs w:val="24"/>
        </w:rPr>
        <w:t xml:space="preserve">Patient </w:t>
      </w:r>
      <w:r w:rsidR="00262365" w:rsidRPr="00262365">
        <w:rPr>
          <w:sz w:val="24"/>
          <w:szCs w:val="24"/>
        </w:rPr>
        <w:t>care</w:t>
      </w:r>
      <w:r w:rsidR="000E0622" w:rsidRPr="00262365">
        <w:rPr>
          <w:sz w:val="24"/>
          <w:szCs w:val="24"/>
        </w:rPr>
        <w:t xml:space="preserve"> documentation must clearly demonstrate the appropriateness of transfer to BLS</w:t>
      </w:r>
      <w:r w:rsidRPr="00262365">
        <w:rPr>
          <w:sz w:val="24"/>
          <w:szCs w:val="24"/>
        </w:rPr>
        <w:t xml:space="preserve"> </w:t>
      </w:r>
      <w:r w:rsidR="000E0622" w:rsidRPr="00262365">
        <w:rPr>
          <w:sz w:val="24"/>
          <w:szCs w:val="24"/>
        </w:rPr>
        <w:t>care</w:t>
      </w:r>
      <w:r w:rsidR="00C41869">
        <w:rPr>
          <w:sz w:val="24"/>
          <w:szCs w:val="24"/>
        </w:rPr>
        <w:t>.</w:t>
      </w:r>
    </w:p>
    <w:p w14:paraId="600E70BE" w14:textId="77777777" w:rsidR="000E0622" w:rsidRPr="00262365" w:rsidRDefault="000E0622" w:rsidP="000E0622">
      <w:pPr>
        <w:spacing w:before="240" w:after="0"/>
        <w:rPr>
          <w:b/>
          <w:i/>
          <w:color w:val="4F81BD" w:themeColor="accent1"/>
          <w:sz w:val="24"/>
          <w:szCs w:val="24"/>
        </w:rPr>
      </w:pPr>
      <w:r w:rsidRPr="00262365">
        <w:rPr>
          <w:b/>
          <w:i/>
          <w:color w:val="4F81BD" w:themeColor="accent1"/>
          <w:sz w:val="24"/>
          <w:szCs w:val="24"/>
        </w:rPr>
        <w:t>Accepting Patient from BLS Care</w:t>
      </w:r>
    </w:p>
    <w:p w14:paraId="5CCCFEE4" w14:textId="30CA9FBD" w:rsidR="000E0622" w:rsidRPr="005322F0" w:rsidRDefault="000E0622" w:rsidP="005322F0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5322F0">
        <w:rPr>
          <w:sz w:val="24"/>
          <w:szCs w:val="24"/>
        </w:rPr>
        <w:t>Requests from BLS units for ALS upgrades should be a strong indication that BLS</w:t>
      </w:r>
      <w:r w:rsidR="00381C60" w:rsidRPr="005322F0">
        <w:rPr>
          <w:sz w:val="24"/>
          <w:szCs w:val="24"/>
        </w:rPr>
        <w:t xml:space="preserve"> </w:t>
      </w:r>
      <w:r w:rsidRPr="005322F0">
        <w:rPr>
          <w:sz w:val="24"/>
          <w:szCs w:val="24"/>
        </w:rPr>
        <w:t>personnel believe the patient’s complaint to be ALS in nature or are uncomfortable with</w:t>
      </w:r>
      <w:r w:rsidR="00381C60" w:rsidRPr="005322F0">
        <w:rPr>
          <w:sz w:val="24"/>
          <w:szCs w:val="24"/>
        </w:rPr>
        <w:t xml:space="preserve"> </w:t>
      </w:r>
      <w:r w:rsidRPr="005322F0">
        <w:rPr>
          <w:sz w:val="24"/>
          <w:szCs w:val="24"/>
        </w:rPr>
        <w:t>the continuation of BLS-only care. The ALS provider should accept patient care in these</w:t>
      </w:r>
      <w:r w:rsidR="00381C60" w:rsidRPr="005322F0">
        <w:rPr>
          <w:sz w:val="24"/>
          <w:szCs w:val="24"/>
        </w:rPr>
        <w:t xml:space="preserve"> </w:t>
      </w:r>
      <w:r w:rsidRPr="005322F0">
        <w:rPr>
          <w:sz w:val="24"/>
          <w:szCs w:val="24"/>
        </w:rPr>
        <w:t>situations.</w:t>
      </w:r>
    </w:p>
    <w:p w14:paraId="29EFE9B7" w14:textId="6FC034A2" w:rsidR="000E0622" w:rsidRPr="005322F0" w:rsidRDefault="000E0622" w:rsidP="005322F0">
      <w:pPr>
        <w:pStyle w:val="ListParagraph"/>
        <w:numPr>
          <w:ilvl w:val="0"/>
          <w:numId w:val="18"/>
        </w:numPr>
        <w:spacing w:before="240" w:after="0"/>
        <w:rPr>
          <w:sz w:val="24"/>
          <w:szCs w:val="24"/>
        </w:rPr>
      </w:pPr>
      <w:r w:rsidRPr="005322F0">
        <w:rPr>
          <w:sz w:val="24"/>
          <w:szCs w:val="24"/>
        </w:rPr>
        <w:t>If a BLS unit is en route to a destination at the time of ALS rendezvous, the ALS provider</w:t>
      </w:r>
      <w:r w:rsidR="00381C60" w:rsidRPr="005322F0">
        <w:rPr>
          <w:sz w:val="24"/>
          <w:szCs w:val="24"/>
        </w:rPr>
        <w:t xml:space="preserve"> </w:t>
      </w:r>
      <w:r w:rsidRPr="005322F0">
        <w:rPr>
          <w:sz w:val="24"/>
          <w:szCs w:val="24"/>
        </w:rPr>
        <w:t>shall staff the BLS unit. The patient is not to be transferred out of the transporting unit</w:t>
      </w:r>
      <w:r w:rsidR="005322F0" w:rsidRPr="005322F0">
        <w:rPr>
          <w:sz w:val="24"/>
          <w:szCs w:val="24"/>
        </w:rPr>
        <w:t xml:space="preserve"> </w:t>
      </w:r>
      <w:r w:rsidRPr="005322F0">
        <w:rPr>
          <w:sz w:val="24"/>
          <w:szCs w:val="24"/>
        </w:rPr>
        <w:t>unless mechanical failure or provider emergency necessitates this transition.</w:t>
      </w:r>
    </w:p>
    <w:p w14:paraId="73E5D79C" w14:textId="77777777" w:rsidR="000E0622" w:rsidRPr="005322F0" w:rsidRDefault="000E0622" w:rsidP="000E0622">
      <w:pPr>
        <w:spacing w:before="240" w:after="0"/>
        <w:rPr>
          <w:b/>
          <w:i/>
          <w:color w:val="4F81BD" w:themeColor="accent1"/>
          <w:sz w:val="24"/>
          <w:szCs w:val="24"/>
        </w:rPr>
      </w:pPr>
      <w:r w:rsidRPr="005322F0">
        <w:rPr>
          <w:b/>
          <w:i/>
          <w:color w:val="4F81BD" w:themeColor="accent1"/>
          <w:sz w:val="24"/>
          <w:szCs w:val="24"/>
        </w:rPr>
        <w:t>Transferring Patient to/from Other ALS Unit</w:t>
      </w:r>
    </w:p>
    <w:p w14:paraId="75ED1116" w14:textId="3F1FFD0D" w:rsidR="000E0622" w:rsidRPr="00897EB4" w:rsidRDefault="000E0622" w:rsidP="00897EB4">
      <w:pPr>
        <w:pStyle w:val="ListParagraph"/>
        <w:numPr>
          <w:ilvl w:val="0"/>
          <w:numId w:val="19"/>
        </w:numPr>
        <w:spacing w:before="120" w:after="0"/>
        <w:rPr>
          <w:sz w:val="24"/>
          <w:szCs w:val="24"/>
        </w:rPr>
      </w:pPr>
      <w:r w:rsidRPr="00897EB4">
        <w:rPr>
          <w:sz w:val="24"/>
          <w:szCs w:val="24"/>
        </w:rPr>
        <w:t>Patient care may be transferred to other ALS providers of equal or higher certification</w:t>
      </w:r>
      <w:r w:rsidR="006C4B5B" w:rsidRPr="00897EB4">
        <w:rPr>
          <w:sz w:val="24"/>
          <w:szCs w:val="24"/>
        </w:rPr>
        <w:t xml:space="preserve"> </w:t>
      </w:r>
      <w:r w:rsidRPr="00897EB4">
        <w:rPr>
          <w:sz w:val="24"/>
          <w:szCs w:val="24"/>
        </w:rPr>
        <w:t>when both ALS providers are on-scene and transport has not yet been initiated.</w:t>
      </w:r>
    </w:p>
    <w:p w14:paraId="230092A4" w14:textId="5FEF3B95" w:rsidR="000E0622" w:rsidRPr="00897EB4" w:rsidRDefault="000E0622" w:rsidP="00897EB4">
      <w:pPr>
        <w:pStyle w:val="ListParagraph"/>
        <w:numPr>
          <w:ilvl w:val="0"/>
          <w:numId w:val="19"/>
        </w:numPr>
        <w:spacing w:before="240" w:after="0"/>
        <w:rPr>
          <w:sz w:val="24"/>
          <w:szCs w:val="24"/>
        </w:rPr>
      </w:pPr>
      <w:r w:rsidRPr="00897EB4">
        <w:rPr>
          <w:sz w:val="24"/>
          <w:szCs w:val="24"/>
        </w:rPr>
        <w:t>Once transport has begun, transfer of patient care shall not take place unless</w:t>
      </w:r>
      <w:r w:rsidR="006C4B5B" w:rsidRPr="00897EB4">
        <w:rPr>
          <w:sz w:val="24"/>
          <w:szCs w:val="24"/>
        </w:rPr>
        <w:t xml:space="preserve"> </w:t>
      </w:r>
      <w:r w:rsidRPr="00897EB4">
        <w:rPr>
          <w:sz w:val="24"/>
          <w:szCs w:val="24"/>
        </w:rPr>
        <w:t>mechanical failure or provider emergency necessitates this transition.</w:t>
      </w:r>
    </w:p>
    <w:p w14:paraId="56EFE5C8" w14:textId="3B01F8C8" w:rsidR="000E0622" w:rsidRPr="00897EB4" w:rsidRDefault="000E0622" w:rsidP="00897EB4">
      <w:pPr>
        <w:pStyle w:val="ListParagraph"/>
        <w:numPr>
          <w:ilvl w:val="0"/>
          <w:numId w:val="19"/>
        </w:numPr>
        <w:spacing w:before="240" w:after="0"/>
        <w:rPr>
          <w:sz w:val="24"/>
          <w:szCs w:val="24"/>
        </w:rPr>
      </w:pPr>
      <w:r w:rsidRPr="00897EB4">
        <w:rPr>
          <w:sz w:val="24"/>
          <w:szCs w:val="24"/>
        </w:rPr>
        <w:t>When providing mutual aid, transfer of patient care from an out-of-county ALS unit shall</w:t>
      </w:r>
      <w:r w:rsidR="003C1C0D" w:rsidRPr="00897EB4">
        <w:rPr>
          <w:sz w:val="24"/>
          <w:szCs w:val="24"/>
        </w:rPr>
        <w:t xml:space="preserve"> </w:t>
      </w:r>
      <w:r w:rsidRPr="00897EB4">
        <w:rPr>
          <w:sz w:val="24"/>
          <w:szCs w:val="24"/>
        </w:rPr>
        <w:t>not be accepted once a provider-patient relationship has been established by that out-of</w:t>
      </w:r>
      <w:r w:rsidR="003C1C0D" w:rsidRPr="00897EB4">
        <w:rPr>
          <w:sz w:val="24"/>
          <w:szCs w:val="24"/>
        </w:rPr>
        <w:t>-</w:t>
      </w:r>
      <w:r w:rsidRPr="00897EB4">
        <w:rPr>
          <w:sz w:val="24"/>
          <w:szCs w:val="24"/>
        </w:rPr>
        <w:t xml:space="preserve">county </w:t>
      </w:r>
      <w:r w:rsidR="003C1C0D" w:rsidRPr="00897EB4">
        <w:rPr>
          <w:sz w:val="24"/>
          <w:szCs w:val="24"/>
        </w:rPr>
        <w:t>a</w:t>
      </w:r>
      <w:r w:rsidRPr="00897EB4">
        <w:rPr>
          <w:sz w:val="24"/>
          <w:szCs w:val="24"/>
        </w:rPr>
        <w:t>mbulance</w:t>
      </w:r>
      <w:r w:rsidR="00C41869">
        <w:rPr>
          <w:sz w:val="24"/>
          <w:szCs w:val="24"/>
        </w:rPr>
        <w:t>.</w:t>
      </w:r>
    </w:p>
    <w:p w14:paraId="3B2732B0" w14:textId="55B1F3C9" w:rsidR="000E0622" w:rsidRPr="00897EB4" w:rsidRDefault="000E0622" w:rsidP="00897EB4">
      <w:pPr>
        <w:pStyle w:val="ListParagraph"/>
        <w:numPr>
          <w:ilvl w:val="0"/>
          <w:numId w:val="19"/>
        </w:numPr>
        <w:spacing w:before="240" w:after="0"/>
        <w:rPr>
          <w:sz w:val="24"/>
          <w:szCs w:val="24"/>
        </w:rPr>
      </w:pPr>
      <w:r w:rsidRPr="00897EB4">
        <w:rPr>
          <w:sz w:val="24"/>
          <w:szCs w:val="24"/>
        </w:rPr>
        <w:t>Patient care may be transferred to other ALS providers of equal or higher certification at</w:t>
      </w:r>
      <w:r w:rsidR="000C6EBF" w:rsidRPr="00897EB4">
        <w:rPr>
          <w:sz w:val="24"/>
          <w:szCs w:val="24"/>
        </w:rPr>
        <w:t xml:space="preserve"> </w:t>
      </w:r>
      <w:r w:rsidRPr="00897EB4">
        <w:rPr>
          <w:sz w:val="24"/>
          <w:szCs w:val="24"/>
        </w:rPr>
        <w:t>the receiving facility when</w:t>
      </w:r>
      <w:r w:rsidR="00C41869">
        <w:rPr>
          <w:sz w:val="24"/>
          <w:szCs w:val="24"/>
        </w:rPr>
        <w:t>:</w:t>
      </w:r>
    </w:p>
    <w:p w14:paraId="74513960" w14:textId="64692D14" w:rsidR="0019382E" w:rsidRPr="00897EB4" w:rsidRDefault="0019382E" w:rsidP="004D52FD">
      <w:pPr>
        <w:pStyle w:val="ListParagraph"/>
        <w:numPr>
          <w:ilvl w:val="1"/>
          <w:numId w:val="19"/>
        </w:numPr>
        <w:spacing w:before="240" w:after="0"/>
        <w:rPr>
          <w:sz w:val="24"/>
          <w:szCs w:val="24"/>
        </w:rPr>
      </w:pPr>
      <w:r w:rsidRPr="00897EB4">
        <w:rPr>
          <w:sz w:val="24"/>
          <w:szCs w:val="24"/>
        </w:rPr>
        <w:t>A complete report has been given to the hospital and a hospital signature has</w:t>
      </w:r>
      <w:r w:rsidR="00AA6901" w:rsidRPr="00897EB4">
        <w:rPr>
          <w:sz w:val="24"/>
          <w:szCs w:val="24"/>
        </w:rPr>
        <w:t xml:space="preserve"> </w:t>
      </w:r>
      <w:r w:rsidRPr="00897EB4">
        <w:rPr>
          <w:sz w:val="24"/>
          <w:szCs w:val="24"/>
        </w:rPr>
        <w:t>been received by a nurse, nurse practitioner, physician’s assistant or physician</w:t>
      </w:r>
      <w:r w:rsidR="00AA6901" w:rsidRPr="00897EB4">
        <w:rPr>
          <w:sz w:val="24"/>
          <w:szCs w:val="24"/>
        </w:rPr>
        <w:t xml:space="preserve"> </w:t>
      </w:r>
      <w:r w:rsidRPr="00897EB4">
        <w:rPr>
          <w:sz w:val="24"/>
          <w:szCs w:val="24"/>
        </w:rPr>
        <w:t>and</w:t>
      </w:r>
    </w:p>
    <w:p w14:paraId="6B1313BB" w14:textId="74BFCAE0" w:rsidR="0019382E" w:rsidRPr="00897EB4" w:rsidRDefault="0019382E" w:rsidP="00C72377">
      <w:pPr>
        <w:pStyle w:val="ListParagraph"/>
        <w:numPr>
          <w:ilvl w:val="1"/>
          <w:numId w:val="19"/>
        </w:numPr>
        <w:spacing w:before="240" w:after="0"/>
        <w:rPr>
          <w:sz w:val="24"/>
          <w:szCs w:val="24"/>
        </w:rPr>
      </w:pPr>
      <w:r w:rsidRPr="00897EB4">
        <w:rPr>
          <w:sz w:val="24"/>
          <w:szCs w:val="24"/>
        </w:rPr>
        <w:t>Hospital personnel have performed an initial medical screening and</w:t>
      </w:r>
    </w:p>
    <w:p w14:paraId="5F941ADD" w14:textId="0E21B8FB" w:rsidR="0019382E" w:rsidRPr="00897EB4" w:rsidRDefault="0019382E" w:rsidP="00C72377">
      <w:pPr>
        <w:pStyle w:val="ListParagraph"/>
        <w:numPr>
          <w:ilvl w:val="1"/>
          <w:numId w:val="19"/>
        </w:numPr>
        <w:spacing w:before="240" w:after="0"/>
        <w:rPr>
          <w:sz w:val="24"/>
          <w:szCs w:val="24"/>
        </w:rPr>
      </w:pPr>
      <w:r w:rsidRPr="00897EB4">
        <w:rPr>
          <w:sz w:val="24"/>
          <w:szCs w:val="24"/>
        </w:rPr>
        <w:t>All assessment findings and treatment provided to the patient has been relayed</w:t>
      </w:r>
      <w:r w:rsidR="00F43642" w:rsidRPr="00897EB4">
        <w:rPr>
          <w:sz w:val="24"/>
          <w:szCs w:val="24"/>
        </w:rPr>
        <w:t xml:space="preserve"> </w:t>
      </w:r>
      <w:r w:rsidRPr="00897EB4">
        <w:rPr>
          <w:sz w:val="24"/>
          <w:szCs w:val="24"/>
        </w:rPr>
        <w:t>to the provider assuming responsibility</w:t>
      </w:r>
      <w:r w:rsidR="00C41869">
        <w:rPr>
          <w:sz w:val="24"/>
          <w:szCs w:val="24"/>
        </w:rPr>
        <w:t>.</w:t>
      </w:r>
      <w:bookmarkStart w:id="0" w:name="_GoBack"/>
      <w:bookmarkEnd w:id="0"/>
    </w:p>
    <w:p w14:paraId="1811EE85" w14:textId="77777777" w:rsidR="0019382E" w:rsidRPr="00897EB4" w:rsidRDefault="0019382E" w:rsidP="0019382E">
      <w:pPr>
        <w:spacing w:before="240" w:after="0"/>
        <w:rPr>
          <w:b/>
          <w:i/>
          <w:color w:val="4F81BD" w:themeColor="accent1"/>
          <w:sz w:val="24"/>
          <w:szCs w:val="24"/>
        </w:rPr>
      </w:pPr>
      <w:r w:rsidRPr="00897EB4">
        <w:rPr>
          <w:b/>
          <w:i/>
          <w:color w:val="4F81BD" w:themeColor="accent1"/>
          <w:sz w:val="24"/>
          <w:szCs w:val="24"/>
        </w:rPr>
        <w:lastRenderedPageBreak/>
        <w:t>Transfer of Patient to Hospital</w:t>
      </w:r>
    </w:p>
    <w:p w14:paraId="02F83385" w14:textId="238877BE" w:rsidR="0019382E" w:rsidRPr="00F15BC8" w:rsidRDefault="0019382E" w:rsidP="00F15BC8">
      <w:pPr>
        <w:pStyle w:val="ListParagraph"/>
        <w:numPr>
          <w:ilvl w:val="0"/>
          <w:numId w:val="20"/>
        </w:numPr>
        <w:spacing w:before="120" w:after="0"/>
        <w:rPr>
          <w:sz w:val="24"/>
          <w:szCs w:val="24"/>
        </w:rPr>
      </w:pPr>
      <w:r w:rsidRPr="00F15BC8">
        <w:rPr>
          <w:sz w:val="24"/>
          <w:szCs w:val="24"/>
        </w:rPr>
        <w:t>Patient care has been transferred when</w:t>
      </w:r>
    </w:p>
    <w:p w14:paraId="6D6A25CE" w14:textId="1ABB2EA9" w:rsidR="0019382E" w:rsidRPr="00F15BC8" w:rsidRDefault="0019382E" w:rsidP="00824176">
      <w:pPr>
        <w:pStyle w:val="ListParagraph"/>
        <w:numPr>
          <w:ilvl w:val="1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The patient, in accordance with hospital direction, has been placed in a hospital</w:t>
      </w:r>
      <w:r w:rsidR="003E3400" w:rsidRPr="00F15BC8">
        <w:rPr>
          <w:sz w:val="24"/>
          <w:szCs w:val="24"/>
        </w:rPr>
        <w:t xml:space="preserve"> </w:t>
      </w:r>
      <w:r w:rsidRPr="00F15BC8">
        <w:rPr>
          <w:sz w:val="24"/>
          <w:szCs w:val="24"/>
        </w:rPr>
        <w:t>gurney, wheelchair or chair and</w:t>
      </w:r>
    </w:p>
    <w:p w14:paraId="5D3BCB51" w14:textId="73103E19" w:rsidR="0019382E" w:rsidRPr="00F15BC8" w:rsidRDefault="0019382E" w:rsidP="00824176">
      <w:pPr>
        <w:pStyle w:val="ListParagraph"/>
        <w:numPr>
          <w:ilvl w:val="1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All assessment findings and treatment provided to the patient have been relayed</w:t>
      </w:r>
      <w:r w:rsidR="003E3400" w:rsidRPr="00F15BC8">
        <w:rPr>
          <w:sz w:val="24"/>
          <w:szCs w:val="24"/>
        </w:rPr>
        <w:t xml:space="preserve"> </w:t>
      </w:r>
      <w:r w:rsidRPr="00F15BC8">
        <w:rPr>
          <w:sz w:val="24"/>
          <w:szCs w:val="24"/>
        </w:rPr>
        <w:t>to a nurse, nurse practitioner, physician’s assistant or physician and</w:t>
      </w:r>
    </w:p>
    <w:p w14:paraId="76DDAA9F" w14:textId="27907C7A" w:rsidR="0019382E" w:rsidRPr="00F15BC8" w:rsidRDefault="0019382E" w:rsidP="00824176">
      <w:pPr>
        <w:pStyle w:val="ListParagraph"/>
        <w:numPr>
          <w:ilvl w:val="1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A signature has been obtained from the hospital provider assuming patient</w:t>
      </w:r>
      <w:r w:rsidR="0021089A" w:rsidRPr="00F15BC8">
        <w:rPr>
          <w:sz w:val="24"/>
          <w:szCs w:val="24"/>
        </w:rPr>
        <w:t xml:space="preserve"> </w:t>
      </w:r>
      <w:r w:rsidRPr="00F15BC8">
        <w:rPr>
          <w:sz w:val="24"/>
          <w:szCs w:val="24"/>
        </w:rPr>
        <w:t>responsibility.</w:t>
      </w:r>
    </w:p>
    <w:p w14:paraId="3EB61EF5" w14:textId="41848BDE" w:rsidR="0019382E" w:rsidRPr="00F15BC8" w:rsidRDefault="0021089A" w:rsidP="00F15BC8">
      <w:pPr>
        <w:pStyle w:val="ListParagraph"/>
        <w:numPr>
          <w:ilvl w:val="0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 xml:space="preserve">A patient care report </w:t>
      </w:r>
      <w:r w:rsidR="003A5E4A" w:rsidRPr="00F15BC8">
        <w:rPr>
          <w:sz w:val="24"/>
          <w:szCs w:val="24"/>
        </w:rPr>
        <w:t>– short form must be left with the receiving facility and a copy of the full patient care report must be faxed or delivered to the receiving facility</w:t>
      </w:r>
      <w:r w:rsidR="00517553" w:rsidRPr="00F15BC8">
        <w:rPr>
          <w:sz w:val="24"/>
          <w:szCs w:val="24"/>
        </w:rPr>
        <w:t xml:space="preserve"> within 24 hours, as soon as possible is preferred.</w:t>
      </w:r>
    </w:p>
    <w:p w14:paraId="6C9D9806" w14:textId="51F20FB4" w:rsidR="0019382E" w:rsidRPr="00F15BC8" w:rsidRDefault="0019382E" w:rsidP="00F15BC8">
      <w:pPr>
        <w:pStyle w:val="ListParagraph"/>
        <w:numPr>
          <w:ilvl w:val="0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All patient items should be left with hospital personnel, the patient or their family.</w:t>
      </w:r>
      <w:r w:rsidR="00047E76" w:rsidRPr="00F15BC8">
        <w:rPr>
          <w:sz w:val="24"/>
          <w:szCs w:val="24"/>
        </w:rPr>
        <w:t xml:space="preserve"> </w:t>
      </w:r>
      <w:r w:rsidRPr="00F15BC8">
        <w:rPr>
          <w:sz w:val="24"/>
          <w:szCs w:val="24"/>
        </w:rPr>
        <w:t xml:space="preserve">Providers should document this </w:t>
      </w:r>
      <w:r w:rsidR="00047E76" w:rsidRPr="00F15BC8">
        <w:rPr>
          <w:sz w:val="24"/>
          <w:szCs w:val="24"/>
        </w:rPr>
        <w:t>in their patient care report</w:t>
      </w:r>
      <w:r w:rsidRPr="00F15BC8">
        <w:rPr>
          <w:sz w:val="24"/>
          <w:szCs w:val="24"/>
        </w:rPr>
        <w:t>.</w:t>
      </w:r>
    </w:p>
    <w:p w14:paraId="0612C071" w14:textId="45A04A33" w:rsidR="0019382E" w:rsidRPr="00F15BC8" w:rsidRDefault="0019382E" w:rsidP="00F15BC8">
      <w:pPr>
        <w:pStyle w:val="ListParagraph"/>
        <w:numPr>
          <w:ilvl w:val="0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When patient transfer does not occur within twenty (20) minutes of arrival and will not</w:t>
      </w:r>
      <w:r w:rsidR="00330F72" w:rsidRPr="00F15BC8">
        <w:rPr>
          <w:sz w:val="24"/>
          <w:szCs w:val="24"/>
        </w:rPr>
        <w:t xml:space="preserve"> </w:t>
      </w:r>
      <w:r w:rsidRPr="00F15BC8">
        <w:rPr>
          <w:sz w:val="24"/>
          <w:szCs w:val="24"/>
        </w:rPr>
        <w:t>occur for another ten (10) minutes,</w:t>
      </w:r>
    </w:p>
    <w:p w14:paraId="186D62FB" w14:textId="4ECA56DD" w:rsidR="0019382E" w:rsidRPr="00F15BC8" w:rsidRDefault="0019382E" w:rsidP="00824176">
      <w:pPr>
        <w:pStyle w:val="ListParagraph"/>
        <w:numPr>
          <w:ilvl w:val="1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Discuss placement of patient with the Charge Nurse.</w:t>
      </w:r>
    </w:p>
    <w:p w14:paraId="00D40F38" w14:textId="60DE9083" w:rsidR="0019382E" w:rsidRPr="00F15BC8" w:rsidRDefault="0019382E" w:rsidP="00824176">
      <w:pPr>
        <w:pStyle w:val="ListParagraph"/>
        <w:numPr>
          <w:ilvl w:val="1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If they are unable to place the patient within the next ten (10) minutes, contact the</w:t>
      </w:r>
      <w:r w:rsidR="00330F72" w:rsidRPr="00F15BC8">
        <w:rPr>
          <w:sz w:val="24"/>
          <w:szCs w:val="24"/>
        </w:rPr>
        <w:t xml:space="preserve"> D</w:t>
      </w:r>
      <w:r w:rsidRPr="00F15BC8">
        <w:rPr>
          <w:sz w:val="24"/>
          <w:szCs w:val="24"/>
        </w:rPr>
        <w:t>uty Officer for further guidance.</w:t>
      </w:r>
    </w:p>
    <w:p w14:paraId="786B1C20" w14:textId="2575CAE6" w:rsidR="0019382E" w:rsidRPr="00F15BC8" w:rsidRDefault="0019382E" w:rsidP="00824176">
      <w:pPr>
        <w:pStyle w:val="ListParagraph"/>
        <w:numPr>
          <w:ilvl w:val="1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Remain with the patient at all times and continue patient care until patient is</w:t>
      </w:r>
      <w:r w:rsidR="00C21839" w:rsidRPr="00F15BC8">
        <w:rPr>
          <w:sz w:val="24"/>
          <w:szCs w:val="24"/>
        </w:rPr>
        <w:t xml:space="preserve"> </w:t>
      </w:r>
      <w:r w:rsidRPr="00F15BC8">
        <w:rPr>
          <w:sz w:val="24"/>
          <w:szCs w:val="24"/>
        </w:rPr>
        <w:t>transferred to a hospital gurney, wheelchair or chair.</w:t>
      </w:r>
    </w:p>
    <w:p w14:paraId="4022ECE3" w14:textId="374860F3" w:rsidR="0019382E" w:rsidRPr="00F15BC8" w:rsidRDefault="0019382E" w:rsidP="00824176">
      <w:pPr>
        <w:pStyle w:val="ListParagraph"/>
        <w:numPr>
          <w:ilvl w:val="1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Assist the hospital in clearing space for the patient if possible.</w:t>
      </w:r>
    </w:p>
    <w:p w14:paraId="16E6A4A6" w14:textId="0728CEE3" w:rsidR="0019382E" w:rsidRPr="00F15BC8" w:rsidRDefault="0019382E" w:rsidP="00824176">
      <w:pPr>
        <w:pStyle w:val="ListParagraph"/>
        <w:numPr>
          <w:ilvl w:val="1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Maintain professionalism at all times.</w:t>
      </w:r>
    </w:p>
    <w:p w14:paraId="74E0D481" w14:textId="0C3E0E0D" w:rsidR="0019382E" w:rsidRPr="00F15BC8" w:rsidRDefault="0019382E" w:rsidP="00F15BC8">
      <w:pPr>
        <w:pStyle w:val="ListParagraph"/>
        <w:numPr>
          <w:ilvl w:val="0"/>
          <w:numId w:val="20"/>
        </w:numPr>
        <w:spacing w:before="240" w:after="0"/>
        <w:rPr>
          <w:sz w:val="24"/>
          <w:szCs w:val="24"/>
        </w:rPr>
      </w:pPr>
      <w:r w:rsidRPr="00F15BC8">
        <w:rPr>
          <w:sz w:val="24"/>
          <w:szCs w:val="24"/>
        </w:rPr>
        <w:t>Once patient transfer has occurred, work to return your unit to service within twenty (20)</w:t>
      </w:r>
      <w:r w:rsidR="00F15BC8" w:rsidRPr="00F15BC8">
        <w:rPr>
          <w:sz w:val="24"/>
          <w:szCs w:val="24"/>
        </w:rPr>
        <w:t xml:space="preserve"> </w:t>
      </w:r>
      <w:r w:rsidRPr="00F15BC8">
        <w:rPr>
          <w:sz w:val="24"/>
          <w:szCs w:val="24"/>
        </w:rPr>
        <w:t>minutes. If you anticipate that a return to service will take longer than this, contact the</w:t>
      </w:r>
      <w:r w:rsidR="00F15BC8" w:rsidRPr="00F15BC8">
        <w:rPr>
          <w:sz w:val="24"/>
          <w:szCs w:val="24"/>
        </w:rPr>
        <w:t xml:space="preserve"> </w:t>
      </w:r>
      <w:r w:rsidRPr="00F15BC8">
        <w:rPr>
          <w:sz w:val="24"/>
          <w:szCs w:val="24"/>
        </w:rPr>
        <w:t>Duty Officer.</w:t>
      </w:r>
    </w:p>
    <w:sectPr w:rsidR="0019382E" w:rsidRPr="00F15BC8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0A17" w14:textId="77777777" w:rsidR="00791991" w:rsidRDefault="00791991" w:rsidP="003A6BA9">
      <w:pPr>
        <w:spacing w:after="0" w:line="240" w:lineRule="auto"/>
      </w:pPr>
      <w:r>
        <w:separator/>
      </w:r>
    </w:p>
  </w:endnote>
  <w:endnote w:type="continuationSeparator" w:id="0">
    <w:p w14:paraId="49DE826B" w14:textId="77777777" w:rsidR="00791991" w:rsidRDefault="00791991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05A7D23E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DF55E2">
      <w:t>402.</w:t>
    </w:r>
    <w:r w:rsidR="000E0622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E399" w14:textId="77777777" w:rsidR="00791991" w:rsidRDefault="00791991" w:rsidP="003A6BA9">
      <w:pPr>
        <w:spacing w:after="0" w:line="240" w:lineRule="auto"/>
      </w:pPr>
      <w:r>
        <w:separator/>
      </w:r>
    </w:p>
  </w:footnote>
  <w:footnote w:type="continuationSeparator" w:id="0">
    <w:p w14:paraId="6E7B720B" w14:textId="77777777" w:rsidR="00791991" w:rsidRDefault="00791991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B8D"/>
    <w:multiLevelType w:val="hybridMultilevel"/>
    <w:tmpl w:val="8860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2EBD"/>
    <w:multiLevelType w:val="hybridMultilevel"/>
    <w:tmpl w:val="9C8A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5C421A"/>
    <w:multiLevelType w:val="hybridMultilevel"/>
    <w:tmpl w:val="550A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6CC9"/>
    <w:multiLevelType w:val="hybridMultilevel"/>
    <w:tmpl w:val="5204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7DE7"/>
    <w:multiLevelType w:val="hybridMultilevel"/>
    <w:tmpl w:val="ADFC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40A3"/>
    <w:multiLevelType w:val="hybridMultilevel"/>
    <w:tmpl w:val="D036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6122A"/>
    <w:multiLevelType w:val="hybridMultilevel"/>
    <w:tmpl w:val="150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68EB"/>
    <w:multiLevelType w:val="hybridMultilevel"/>
    <w:tmpl w:val="8592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3"/>
  </w:num>
  <w:num w:numId="10">
    <w:abstractNumId w:val="4"/>
  </w:num>
  <w:num w:numId="11">
    <w:abstractNumId w:val="18"/>
  </w:num>
  <w:num w:numId="12">
    <w:abstractNumId w:val="2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0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17BD9"/>
    <w:rsid w:val="00021802"/>
    <w:rsid w:val="00047E76"/>
    <w:rsid w:val="000579DF"/>
    <w:rsid w:val="00075C11"/>
    <w:rsid w:val="000B0526"/>
    <w:rsid w:val="000B7FEA"/>
    <w:rsid w:val="000C0057"/>
    <w:rsid w:val="000C6EBF"/>
    <w:rsid w:val="000D4F80"/>
    <w:rsid w:val="000E0622"/>
    <w:rsid w:val="000E1ADC"/>
    <w:rsid w:val="000E29AB"/>
    <w:rsid w:val="000E4081"/>
    <w:rsid w:val="000F756E"/>
    <w:rsid w:val="00105FE9"/>
    <w:rsid w:val="00106235"/>
    <w:rsid w:val="001135CB"/>
    <w:rsid w:val="00115E48"/>
    <w:rsid w:val="001260F6"/>
    <w:rsid w:val="00136BAD"/>
    <w:rsid w:val="0014735F"/>
    <w:rsid w:val="00150690"/>
    <w:rsid w:val="00155029"/>
    <w:rsid w:val="001614B0"/>
    <w:rsid w:val="00172427"/>
    <w:rsid w:val="00183109"/>
    <w:rsid w:val="00191526"/>
    <w:rsid w:val="0019382E"/>
    <w:rsid w:val="00195F6D"/>
    <w:rsid w:val="001A2972"/>
    <w:rsid w:val="001A6330"/>
    <w:rsid w:val="001C41A3"/>
    <w:rsid w:val="001E607D"/>
    <w:rsid w:val="001E6BB8"/>
    <w:rsid w:val="001F1F75"/>
    <w:rsid w:val="001F2161"/>
    <w:rsid w:val="00200DC9"/>
    <w:rsid w:val="0021089A"/>
    <w:rsid w:val="00210976"/>
    <w:rsid w:val="00212544"/>
    <w:rsid w:val="002161CD"/>
    <w:rsid w:val="00220B45"/>
    <w:rsid w:val="0022159A"/>
    <w:rsid w:val="0023503E"/>
    <w:rsid w:val="00240858"/>
    <w:rsid w:val="00262365"/>
    <w:rsid w:val="00267135"/>
    <w:rsid w:val="002844AE"/>
    <w:rsid w:val="0028465C"/>
    <w:rsid w:val="00285AF9"/>
    <w:rsid w:val="00290447"/>
    <w:rsid w:val="00295063"/>
    <w:rsid w:val="002A6621"/>
    <w:rsid w:val="002C25D1"/>
    <w:rsid w:val="002D54A9"/>
    <w:rsid w:val="002D79C9"/>
    <w:rsid w:val="002E34BD"/>
    <w:rsid w:val="002F3E13"/>
    <w:rsid w:val="00330F72"/>
    <w:rsid w:val="00365054"/>
    <w:rsid w:val="00374D25"/>
    <w:rsid w:val="00381C60"/>
    <w:rsid w:val="00387C35"/>
    <w:rsid w:val="003920C0"/>
    <w:rsid w:val="003A381C"/>
    <w:rsid w:val="003A5E4A"/>
    <w:rsid w:val="003A6BA9"/>
    <w:rsid w:val="003A7631"/>
    <w:rsid w:val="003B5AFE"/>
    <w:rsid w:val="003C1C0D"/>
    <w:rsid w:val="003E3400"/>
    <w:rsid w:val="003E7ADA"/>
    <w:rsid w:val="003F24D6"/>
    <w:rsid w:val="003F278D"/>
    <w:rsid w:val="00431E48"/>
    <w:rsid w:val="0045148B"/>
    <w:rsid w:val="00452377"/>
    <w:rsid w:val="004B04B1"/>
    <w:rsid w:val="004B0FC2"/>
    <w:rsid w:val="004B5B8A"/>
    <w:rsid w:val="004D2360"/>
    <w:rsid w:val="004D2D64"/>
    <w:rsid w:val="004D354C"/>
    <w:rsid w:val="004D52FD"/>
    <w:rsid w:val="004D726B"/>
    <w:rsid w:val="004F35CF"/>
    <w:rsid w:val="004F6D1A"/>
    <w:rsid w:val="004F7D88"/>
    <w:rsid w:val="0050196C"/>
    <w:rsid w:val="00507D46"/>
    <w:rsid w:val="00517218"/>
    <w:rsid w:val="00517553"/>
    <w:rsid w:val="005322F0"/>
    <w:rsid w:val="00542BB0"/>
    <w:rsid w:val="00543321"/>
    <w:rsid w:val="00544E1B"/>
    <w:rsid w:val="00550D97"/>
    <w:rsid w:val="00566E38"/>
    <w:rsid w:val="0058194A"/>
    <w:rsid w:val="00616E7F"/>
    <w:rsid w:val="00621120"/>
    <w:rsid w:val="00627F30"/>
    <w:rsid w:val="00631F3D"/>
    <w:rsid w:val="00632876"/>
    <w:rsid w:val="006501CD"/>
    <w:rsid w:val="00663288"/>
    <w:rsid w:val="00663E4D"/>
    <w:rsid w:val="00681614"/>
    <w:rsid w:val="006939F5"/>
    <w:rsid w:val="006A5A45"/>
    <w:rsid w:val="006C4B5B"/>
    <w:rsid w:val="006C637B"/>
    <w:rsid w:val="006D0095"/>
    <w:rsid w:val="006E48E1"/>
    <w:rsid w:val="006E77A9"/>
    <w:rsid w:val="00733E31"/>
    <w:rsid w:val="00734CEF"/>
    <w:rsid w:val="007409D5"/>
    <w:rsid w:val="00751F2C"/>
    <w:rsid w:val="0077249D"/>
    <w:rsid w:val="0077305A"/>
    <w:rsid w:val="00780E2E"/>
    <w:rsid w:val="00791013"/>
    <w:rsid w:val="00791991"/>
    <w:rsid w:val="007A033D"/>
    <w:rsid w:val="007A63E4"/>
    <w:rsid w:val="007B226E"/>
    <w:rsid w:val="007C79FD"/>
    <w:rsid w:val="007D2890"/>
    <w:rsid w:val="007E0028"/>
    <w:rsid w:val="00804365"/>
    <w:rsid w:val="00815A4C"/>
    <w:rsid w:val="00824176"/>
    <w:rsid w:val="0083383F"/>
    <w:rsid w:val="00876CF4"/>
    <w:rsid w:val="008876FA"/>
    <w:rsid w:val="0089153C"/>
    <w:rsid w:val="00894800"/>
    <w:rsid w:val="00897EB4"/>
    <w:rsid w:val="008C52F8"/>
    <w:rsid w:val="0090246B"/>
    <w:rsid w:val="0090773B"/>
    <w:rsid w:val="0090793F"/>
    <w:rsid w:val="00921184"/>
    <w:rsid w:val="00921D6F"/>
    <w:rsid w:val="00945422"/>
    <w:rsid w:val="009576DF"/>
    <w:rsid w:val="00966C61"/>
    <w:rsid w:val="00980441"/>
    <w:rsid w:val="009A2214"/>
    <w:rsid w:val="009A4D18"/>
    <w:rsid w:val="009B4B6E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82999"/>
    <w:rsid w:val="00A97EC9"/>
    <w:rsid w:val="00AA6901"/>
    <w:rsid w:val="00AE392B"/>
    <w:rsid w:val="00AF226F"/>
    <w:rsid w:val="00B0664D"/>
    <w:rsid w:val="00B07DA1"/>
    <w:rsid w:val="00B21CA0"/>
    <w:rsid w:val="00B422D8"/>
    <w:rsid w:val="00B84671"/>
    <w:rsid w:val="00B9082F"/>
    <w:rsid w:val="00BC71F7"/>
    <w:rsid w:val="00BC7ADA"/>
    <w:rsid w:val="00BD4735"/>
    <w:rsid w:val="00BF4A6F"/>
    <w:rsid w:val="00C039D3"/>
    <w:rsid w:val="00C07089"/>
    <w:rsid w:val="00C16B73"/>
    <w:rsid w:val="00C21839"/>
    <w:rsid w:val="00C21CAD"/>
    <w:rsid w:val="00C24EA3"/>
    <w:rsid w:val="00C32DDD"/>
    <w:rsid w:val="00C36CA1"/>
    <w:rsid w:val="00C41869"/>
    <w:rsid w:val="00C42B5B"/>
    <w:rsid w:val="00C564A3"/>
    <w:rsid w:val="00C72377"/>
    <w:rsid w:val="00C80B35"/>
    <w:rsid w:val="00C80CE7"/>
    <w:rsid w:val="00C81AF9"/>
    <w:rsid w:val="00C93E0F"/>
    <w:rsid w:val="00C974E9"/>
    <w:rsid w:val="00CA1421"/>
    <w:rsid w:val="00CC5B44"/>
    <w:rsid w:val="00CC775B"/>
    <w:rsid w:val="00CD1312"/>
    <w:rsid w:val="00CD2A4E"/>
    <w:rsid w:val="00CE07B4"/>
    <w:rsid w:val="00CF23DB"/>
    <w:rsid w:val="00CF5F96"/>
    <w:rsid w:val="00D00192"/>
    <w:rsid w:val="00D23E9B"/>
    <w:rsid w:val="00D60979"/>
    <w:rsid w:val="00D65D1D"/>
    <w:rsid w:val="00D679B0"/>
    <w:rsid w:val="00D85FA2"/>
    <w:rsid w:val="00D91AD7"/>
    <w:rsid w:val="00DA129B"/>
    <w:rsid w:val="00DB1799"/>
    <w:rsid w:val="00DB4B49"/>
    <w:rsid w:val="00DD5F42"/>
    <w:rsid w:val="00DF0165"/>
    <w:rsid w:val="00DF4EC0"/>
    <w:rsid w:val="00DF55E2"/>
    <w:rsid w:val="00E564C0"/>
    <w:rsid w:val="00E64418"/>
    <w:rsid w:val="00E74DB5"/>
    <w:rsid w:val="00E80F5F"/>
    <w:rsid w:val="00EA3D7E"/>
    <w:rsid w:val="00EB1DB9"/>
    <w:rsid w:val="00EB7952"/>
    <w:rsid w:val="00EF6130"/>
    <w:rsid w:val="00F00F67"/>
    <w:rsid w:val="00F15BC8"/>
    <w:rsid w:val="00F166C5"/>
    <w:rsid w:val="00F35EDD"/>
    <w:rsid w:val="00F36951"/>
    <w:rsid w:val="00F43642"/>
    <w:rsid w:val="00F47958"/>
    <w:rsid w:val="00F71930"/>
    <w:rsid w:val="00F80521"/>
    <w:rsid w:val="00F817B2"/>
    <w:rsid w:val="00F92416"/>
    <w:rsid w:val="00F977E8"/>
    <w:rsid w:val="00FE0413"/>
    <w:rsid w:val="00FE0646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3D0050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  <w:rsid w:val="00DF4150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4BA9-26CC-487E-A34B-635D2C08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47</cp:revision>
  <cp:lastPrinted>2019-04-23T20:44:00Z</cp:lastPrinted>
  <dcterms:created xsi:type="dcterms:W3CDTF">2019-04-30T17:30:00Z</dcterms:created>
  <dcterms:modified xsi:type="dcterms:W3CDTF">2020-02-20T23:43:00Z</dcterms:modified>
</cp:coreProperties>
</file>