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183C" w14:textId="77777777" w:rsidR="00EF0F1B" w:rsidRDefault="00EF0F1B" w:rsidP="004B3949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52782B16" w14:textId="77777777" w:rsidTr="00AA125B">
        <w:tc>
          <w:tcPr>
            <w:tcW w:w="9576" w:type="dxa"/>
            <w:gridSpan w:val="4"/>
          </w:tcPr>
          <w:p w14:paraId="52782B15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52782B1A" w14:textId="77777777" w:rsidTr="00AA125B">
        <w:tc>
          <w:tcPr>
            <w:tcW w:w="2394" w:type="dxa"/>
          </w:tcPr>
          <w:p w14:paraId="52782B17" w14:textId="77777777" w:rsidR="003A6BA9" w:rsidRPr="0092737C" w:rsidRDefault="003A6BA9" w:rsidP="007C79FD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EB1DB9">
              <w:rPr>
                <w:sz w:val="24"/>
                <w:szCs w:val="24"/>
              </w:rPr>
              <w:t>2</w:t>
            </w:r>
            <w:r w:rsidR="007C79FD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52782B18" w14:textId="77777777" w:rsidR="003A6BA9" w:rsidRPr="00627F30" w:rsidRDefault="007C79FD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HIPAA Compliance – Overview &amp; Manual</w:t>
            </w:r>
          </w:p>
        </w:tc>
        <w:tc>
          <w:tcPr>
            <w:tcW w:w="2394" w:type="dxa"/>
          </w:tcPr>
          <w:p w14:paraId="52782B19" w14:textId="77777777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44B4A">
              <w:rPr>
                <w:sz w:val="28"/>
                <w:szCs w:val="28"/>
              </w:rPr>
              <w:t>2</w:t>
            </w:r>
          </w:p>
        </w:tc>
      </w:tr>
      <w:tr w:rsidR="003A6BA9" w14:paraId="52782B1D" w14:textId="77777777" w:rsidTr="00AA125B">
        <w:tc>
          <w:tcPr>
            <w:tcW w:w="4788" w:type="dxa"/>
            <w:gridSpan w:val="2"/>
          </w:tcPr>
          <w:p w14:paraId="52782B1B" w14:textId="5140D6FD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D91D54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D91D54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52782B1C" w14:textId="14EE6933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5C7683">
              <w:rPr>
                <w:sz w:val="24"/>
                <w:szCs w:val="24"/>
              </w:rPr>
              <w:t>Board of Directors</w:t>
            </w:r>
          </w:p>
        </w:tc>
      </w:tr>
      <w:tr w:rsidR="003A6BA9" w14:paraId="52782B20" w14:textId="77777777" w:rsidTr="00AA125B">
        <w:tc>
          <w:tcPr>
            <w:tcW w:w="4788" w:type="dxa"/>
            <w:gridSpan w:val="2"/>
          </w:tcPr>
          <w:p w14:paraId="52782B1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2782B1F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2782B21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7C79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52782B22" w14:textId="77777777" w:rsidR="0014735F" w:rsidRDefault="007C79FD" w:rsidP="007C79FD">
      <w:pPr>
        <w:spacing w:before="120" w:after="0"/>
        <w:rPr>
          <w:sz w:val="24"/>
          <w:szCs w:val="24"/>
        </w:rPr>
      </w:pPr>
      <w:r w:rsidRPr="007C79FD">
        <w:rPr>
          <w:sz w:val="24"/>
          <w:szCs w:val="24"/>
        </w:rPr>
        <w:t>To establish policies and procedures to ensure compliance with The Health Insurance Portability and</w:t>
      </w:r>
      <w:r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Accountability Act of 1996 (HIPAA)</w:t>
      </w:r>
      <w:r>
        <w:rPr>
          <w:sz w:val="24"/>
          <w:szCs w:val="24"/>
        </w:rPr>
        <w:t>.</w:t>
      </w:r>
    </w:p>
    <w:p w14:paraId="52782B23" w14:textId="77777777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7C79FD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7C79FD">
        <w:rPr>
          <w:b/>
          <w:sz w:val="28"/>
          <w:szCs w:val="28"/>
        </w:rPr>
        <w:t>Introduction</w:t>
      </w:r>
    </w:p>
    <w:p w14:paraId="52782B24" w14:textId="77777777" w:rsidR="00804365" w:rsidRPr="007C79FD" w:rsidRDefault="007C79FD" w:rsidP="007C79FD">
      <w:pPr>
        <w:spacing w:before="120" w:after="0"/>
        <w:rPr>
          <w:sz w:val="24"/>
          <w:szCs w:val="24"/>
        </w:rPr>
      </w:pPr>
      <w:r w:rsidRPr="007C79FD">
        <w:rPr>
          <w:sz w:val="24"/>
          <w:szCs w:val="24"/>
        </w:rPr>
        <w:t>The Health Insurance Portability and Accountability Act of 1996 (HIPAA) required the Secretary of the U.S.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Department of Health and Human Services (HHS) to develop regulations protecting the privacy and security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of certain health information.1 To fulfill this requirement, HHS published what are commonly known as the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 xml:space="preserve">HIPAA Privacy Rule and the HIPAA Security Rule. The Privacy Rule, or </w:t>
      </w:r>
      <w:r w:rsidRPr="0028465C">
        <w:rPr>
          <w:i/>
          <w:sz w:val="24"/>
          <w:szCs w:val="24"/>
        </w:rPr>
        <w:t>Standards for Privacy of Individually</w:t>
      </w:r>
      <w:r w:rsidR="0028465C">
        <w:rPr>
          <w:sz w:val="24"/>
          <w:szCs w:val="24"/>
        </w:rPr>
        <w:t xml:space="preserve"> </w:t>
      </w:r>
      <w:r w:rsidRPr="0028465C">
        <w:rPr>
          <w:i/>
          <w:sz w:val="24"/>
          <w:szCs w:val="24"/>
        </w:rPr>
        <w:t>Identifiable Health Information</w:t>
      </w:r>
      <w:r w:rsidRPr="007C79FD">
        <w:rPr>
          <w:sz w:val="24"/>
          <w:szCs w:val="24"/>
        </w:rPr>
        <w:t>, establishes national standards for the protection of certain health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 xml:space="preserve">information. </w:t>
      </w:r>
      <w:r w:rsidRPr="0028465C">
        <w:rPr>
          <w:i/>
          <w:sz w:val="24"/>
          <w:szCs w:val="24"/>
        </w:rPr>
        <w:t>The Security Standards for the Protection of Electronic Protected Health Information</w:t>
      </w:r>
      <w:r w:rsidRPr="007C79FD">
        <w:rPr>
          <w:sz w:val="24"/>
          <w:szCs w:val="24"/>
        </w:rPr>
        <w:t xml:space="preserve"> (the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Security Rule) establish a national set of security standards for protecting certain health information that is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held or transferred in electronic form. The Security Rule operationalizes the protections contained in the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Privacy Rule by addressing the technical and non-technical safeguards that organizations called “covered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entities” must put in place to secure individuals’ “electronic protected health information” (e-PHI). Within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HHS, the Office for Civil Rights (OCR) has responsibility for enforcing the Privacy and Security Rules with</w:t>
      </w:r>
      <w:r w:rsidR="0028465C">
        <w:rPr>
          <w:sz w:val="24"/>
          <w:szCs w:val="24"/>
        </w:rPr>
        <w:t xml:space="preserve"> </w:t>
      </w:r>
      <w:r w:rsidRPr="007C79FD">
        <w:rPr>
          <w:sz w:val="24"/>
          <w:szCs w:val="24"/>
        </w:rPr>
        <w:t>voluntary compliance activities and civil money penalties.</w:t>
      </w:r>
    </w:p>
    <w:p w14:paraId="52782B25" w14:textId="77777777" w:rsidR="00452377" w:rsidRDefault="00452377" w:rsidP="00106235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28465C">
        <w:rPr>
          <w:b/>
          <w:sz w:val="28"/>
          <w:szCs w:val="28"/>
        </w:rPr>
        <w:t>4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28465C">
        <w:rPr>
          <w:b/>
          <w:sz w:val="28"/>
          <w:szCs w:val="28"/>
        </w:rPr>
        <w:t>Relevant Citations</w:t>
      </w:r>
    </w:p>
    <w:p w14:paraId="52782B26" w14:textId="77777777" w:rsidR="00804365" w:rsidRPr="0028465C" w:rsidRDefault="0028465C" w:rsidP="00C974E9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28465C">
        <w:rPr>
          <w:sz w:val="24"/>
          <w:szCs w:val="24"/>
        </w:rPr>
        <w:t>https://www.hhs.gov/hipaa/for-professionals/security/laws-regulations/index.html</w:t>
      </w:r>
    </w:p>
    <w:p w14:paraId="52782B27" w14:textId="77777777" w:rsidR="0028465C" w:rsidRPr="0028465C" w:rsidRDefault="0028465C" w:rsidP="00C974E9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28465C">
        <w:rPr>
          <w:sz w:val="24"/>
          <w:szCs w:val="24"/>
        </w:rPr>
        <w:t>https://www.hhs.gov/hipaa/for-professionals/index.html</w:t>
      </w:r>
    </w:p>
    <w:p w14:paraId="52782B28" w14:textId="77777777" w:rsidR="0028465C" w:rsidRPr="0028465C" w:rsidRDefault="0028465C" w:rsidP="00C974E9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28465C">
        <w:rPr>
          <w:sz w:val="24"/>
          <w:szCs w:val="24"/>
        </w:rPr>
        <w:t>https://www.hhs.gov/hipaa/for-professionals/patient-safety/patient-safety-rule/index.html</w:t>
      </w:r>
    </w:p>
    <w:p w14:paraId="52782B29" w14:textId="77777777" w:rsidR="00C24EA3" w:rsidRDefault="00C24EA3" w:rsidP="00C24EA3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100.2</w:t>
      </w:r>
      <w:r w:rsidR="002846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ab/>
      </w:r>
      <w:r w:rsidR="0028465C">
        <w:rPr>
          <w:b/>
          <w:sz w:val="28"/>
          <w:szCs w:val="28"/>
        </w:rPr>
        <w:t>Relevant Acronyms</w:t>
      </w:r>
    </w:p>
    <w:p w14:paraId="52782B2A" w14:textId="1F968275" w:rsidR="0028465C" w:rsidRPr="0028465C" w:rsidRDefault="0028465C" w:rsidP="00C974E9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28465C">
        <w:rPr>
          <w:b/>
          <w:sz w:val="24"/>
          <w:szCs w:val="24"/>
        </w:rPr>
        <w:t>HHS</w:t>
      </w:r>
      <w:r w:rsidR="00AE2439">
        <w:rPr>
          <w:b/>
          <w:sz w:val="24"/>
          <w:szCs w:val="24"/>
        </w:rPr>
        <w:t>:</w:t>
      </w:r>
      <w:r w:rsidRPr="0028465C">
        <w:rPr>
          <w:sz w:val="24"/>
          <w:szCs w:val="24"/>
        </w:rPr>
        <w:t xml:space="preserve"> U.S. Department of Health and Human Services</w:t>
      </w:r>
    </w:p>
    <w:p w14:paraId="52782B2B" w14:textId="425FA0DB" w:rsidR="0028465C" w:rsidRPr="0028465C" w:rsidRDefault="0028465C" w:rsidP="00C974E9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28465C">
        <w:rPr>
          <w:b/>
          <w:sz w:val="24"/>
          <w:szCs w:val="24"/>
        </w:rPr>
        <w:lastRenderedPageBreak/>
        <w:t>HIPAA</w:t>
      </w:r>
      <w:r w:rsidR="00AE2439">
        <w:rPr>
          <w:b/>
          <w:sz w:val="24"/>
          <w:szCs w:val="24"/>
        </w:rPr>
        <w:t>:</w:t>
      </w:r>
      <w:r w:rsidRPr="0028465C">
        <w:rPr>
          <w:sz w:val="24"/>
          <w:szCs w:val="24"/>
        </w:rPr>
        <w:t xml:space="preserve"> The Health Insurance Portability and Accountability Act of 1996</w:t>
      </w:r>
    </w:p>
    <w:p w14:paraId="52782B2C" w14:textId="69511F70" w:rsidR="00C24EA3" w:rsidRDefault="0028465C" w:rsidP="00C974E9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28465C">
        <w:rPr>
          <w:b/>
          <w:sz w:val="24"/>
          <w:szCs w:val="24"/>
        </w:rPr>
        <w:t>PHI</w:t>
      </w:r>
      <w:r w:rsidR="00AE2439">
        <w:rPr>
          <w:b/>
          <w:sz w:val="24"/>
          <w:szCs w:val="24"/>
        </w:rPr>
        <w:t>:</w:t>
      </w:r>
      <w:bookmarkStart w:id="0" w:name="_GoBack"/>
      <w:bookmarkEnd w:id="0"/>
      <w:r w:rsidRPr="0028465C">
        <w:rPr>
          <w:sz w:val="24"/>
          <w:szCs w:val="24"/>
        </w:rPr>
        <w:t xml:space="preserve"> Protected Healthcare Information</w:t>
      </w:r>
    </w:p>
    <w:p w14:paraId="52782B2D" w14:textId="77777777" w:rsidR="0028465C" w:rsidRDefault="0028465C" w:rsidP="0028465C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100.24.05</w:t>
      </w:r>
      <w:r>
        <w:rPr>
          <w:b/>
          <w:sz w:val="28"/>
          <w:szCs w:val="28"/>
        </w:rPr>
        <w:tab/>
        <w:t>HIPAA Compliance Manual Overview</w:t>
      </w:r>
    </w:p>
    <w:sectPr w:rsidR="0028465C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0B5" w14:textId="77777777" w:rsidR="0048106E" w:rsidRDefault="0048106E" w:rsidP="003A6BA9">
      <w:pPr>
        <w:spacing w:after="0" w:line="240" w:lineRule="auto"/>
      </w:pPr>
      <w:r>
        <w:separator/>
      </w:r>
    </w:p>
  </w:endnote>
  <w:endnote w:type="continuationSeparator" w:id="0">
    <w:p w14:paraId="275FA5D7" w14:textId="77777777" w:rsidR="0048106E" w:rsidRDefault="0048106E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2B37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</w:t>
    </w:r>
    <w:r w:rsidR="00EB1DB9">
      <w:t>2</w:t>
    </w:r>
    <w:r w:rsidR="0028465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57B6" w14:textId="77777777" w:rsidR="0048106E" w:rsidRDefault="0048106E" w:rsidP="003A6BA9">
      <w:pPr>
        <w:spacing w:after="0" w:line="240" w:lineRule="auto"/>
      </w:pPr>
      <w:r>
        <w:separator/>
      </w:r>
    </w:p>
  </w:footnote>
  <w:footnote w:type="continuationSeparator" w:id="0">
    <w:p w14:paraId="1C24A4B7" w14:textId="77777777" w:rsidR="0048106E" w:rsidRDefault="0048106E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52782B35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2782B32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2782B33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2782B34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2782B36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04DF7"/>
    <w:rsid w:val="000B7FEA"/>
    <w:rsid w:val="000C0057"/>
    <w:rsid w:val="000D4F80"/>
    <w:rsid w:val="000E4081"/>
    <w:rsid w:val="000F756E"/>
    <w:rsid w:val="00106235"/>
    <w:rsid w:val="001135CB"/>
    <w:rsid w:val="00136BAD"/>
    <w:rsid w:val="0014735F"/>
    <w:rsid w:val="00150690"/>
    <w:rsid w:val="00183109"/>
    <w:rsid w:val="001C41A3"/>
    <w:rsid w:val="001E6BB8"/>
    <w:rsid w:val="00212544"/>
    <w:rsid w:val="002161CD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F24D6"/>
    <w:rsid w:val="00431E48"/>
    <w:rsid w:val="00452377"/>
    <w:rsid w:val="0048106E"/>
    <w:rsid w:val="004B0FC2"/>
    <w:rsid w:val="004B3949"/>
    <w:rsid w:val="004D2360"/>
    <w:rsid w:val="004D2D64"/>
    <w:rsid w:val="00517218"/>
    <w:rsid w:val="00542BB0"/>
    <w:rsid w:val="00544E1B"/>
    <w:rsid w:val="005C7683"/>
    <w:rsid w:val="00621120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876FA"/>
    <w:rsid w:val="0089153C"/>
    <w:rsid w:val="00894800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F2B51"/>
    <w:rsid w:val="00A16EFB"/>
    <w:rsid w:val="00A40419"/>
    <w:rsid w:val="00A44B4A"/>
    <w:rsid w:val="00A5627B"/>
    <w:rsid w:val="00A56A8A"/>
    <w:rsid w:val="00A6357D"/>
    <w:rsid w:val="00A97EC9"/>
    <w:rsid w:val="00AE2439"/>
    <w:rsid w:val="00AF226F"/>
    <w:rsid w:val="00B07DA1"/>
    <w:rsid w:val="00B9082F"/>
    <w:rsid w:val="00BC71F7"/>
    <w:rsid w:val="00BF4A6F"/>
    <w:rsid w:val="00C039D3"/>
    <w:rsid w:val="00C21CAD"/>
    <w:rsid w:val="00C24EA3"/>
    <w:rsid w:val="00C32DDD"/>
    <w:rsid w:val="00C42B5B"/>
    <w:rsid w:val="00C80CE7"/>
    <w:rsid w:val="00C81AF9"/>
    <w:rsid w:val="00C93E0F"/>
    <w:rsid w:val="00C974E9"/>
    <w:rsid w:val="00CA1421"/>
    <w:rsid w:val="00CC5B44"/>
    <w:rsid w:val="00CC775B"/>
    <w:rsid w:val="00CF5F96"/>
    <w:rsid w:val="00D00192"/>
    <w:rsid w:val="00D278CA"/>
    <w:rsid w:val="00D65D1D"/>
    <w:rsid w:val="00D679B0"/>
    <w:rsid w:val="00D91AD7"/>
    <w:rsid w:val="00D91D54"/>
    <w:rsid w:val="00DA129B"/>
    <w:rsid w:val="00DB1799"/>
    <w:rsid w:val="00DB4B49"/>
    <w:rsid w:val="00DF0165"/>
    <w:rsid w:val="00DF4EC0"/>
    <w:rsid w:val="00E64418"/>
    <w:rsid w:val="00EA3D7E"/>
    <w:rsid w:val="00EB1DB9"/>
    <w:rsid w:val="00EF0F1B"/>
    <w:rsid w:val="00F00F67"/>
    <w:rsid w:val="00F166C5"/>
    <w:rsid w:val="00F35EDD"/>
    <w:rsid w:val="00F47958"/>
    <w:rsid w:val="00F80521"/>
    <w:rsid w:val="00F817B2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B14"/>
  <w15:docId w15:val="{C2C8B5DC-C1FF-40D7-B20C-A4B65B69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4242ED"/>
    <w:rsid w:val="004F0EED"/>
    <w:rsid w:val="00564E23"/>
    <w:rsid w:val="00694A67"/>
    <w:rsid w:val="006D771E"/>
    <w:rsid w:val="007C3147"/>
    <w:rsid w:val="00806C1F"/>
    <w:rsid w:val="00854312"/>
    <w:rsid w:val="008B2B7A"/>
    <w:rsid w:val="00913626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DAFD-99F0-4E01-A48D-8B4257E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10</cp:revision>
  <dcterms:created xsi:type="dcterms:W3CDTF">2019-02-07T23:40:00Z</dcterms:created>
  <dcterms:modified xsi:type="dcterms:W3CDTF">2020-02-20T23:56:00Z</dcterms:modified>
</cp:coreProperties>
</file>